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F5" w:rsidRPr="005C37F5" w:rsidRDefault="005C37F5">
      <w:pPr>
        <w:rPr>
          <w:rFonts w:ascii="標楷體" w:eastAsia="標楷體" w:hAnsi="標楷體"/>
          <w:b/>
        </w:rPr>
      </w:pPr>
    </w:p>
    <w:tbl>
      <w:tblPr>
        <w:tblStyle w:val="a7"/>
        <w:tblW w:w="15701" w:type="dxa"/>
        <w:tblInd w:w="-113" w:type="dxa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2977"/>
        <w:gridCol w:w="2835"/>
        <w:gridCol w:w="1276"/>
        <w:gridCol w:w="1843"/>
        <w:gridCol w:w="1559"/>
      </w:tblGrid>
      <w:tr w:rsidR="005C37F5" w:rsidRPr="005C37F5" w:rsidTr="005C37F5">
        <w:trPr>
          <w:tblHeader/>
        </w:trPr>
        <w:tc>
          <w:tcPr>
            <w:tcW w:w="15701" w:type="dxa"/>
            <w:gridSpan w:val="8"/>
            <w:shd w:val="clear" w:color="auto" w:fill="D2EAF1"/>
            <w:vAlign w:val="center"/>
          </w:tcPr>
          <w:p w:rsidR="005C37F5" w:rsidRPr="005C37F5" w:rsidRDefault="005C37F5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  <w:sz w:val="28"/>
              </w:rPr>
              <w:t>單位：</w:t>
            </w:r>
            <w:r w:rsidRPr="005C37F5">
              <w:rPr>
                <w:rFonts w:ascii="Times New Roman" w:eastAsia="標楷體" w:hAnsi="Times New Roman" w:cs="Times New Roman"/>
                <w:b/>
                <w:sz w:val="28"/>
              </w:rPr>
              <w:t>OO</w:t>
            </w:r>
            <w:r w:rsidRPr="005C37F5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r w:rsidRPr="005C37F5">
              <w:rPr>
                <w:rFonts w:ascii="Times New Roman" w:eastAsia="標楷體" w:hAnsi="Times New Roman" w:cs="Times New Roman"/>
                <w:b/>
                <w:sz w:val="28"/>
              </w:rPr>
              <w:t xml:space="preserve"> or OO </w:t>
            </w:r>
            <w:r w:rsidRPr="005C37F5">
              <w:rPr>
                <w:rFonts w:ascii="Times New Roman" w:eastAsia="標楷體" w:hAnsi="Times New Roman" w:cs="Times New Roman"/>
                <w:b/>
                <w:sz w:val="28"/>
              </w:rPr>
              <w:t>處</w:t>
            </w:r>
          </w:p>
        </w:tc>
      </w:tr>
      <w:tr w:rsidR="005C37F5" w:rsidRPr="005C37F5" w:rsidTr="003B4766">
        <w:trPr>
          <w:tblHeader/>
        </w:trPr>
        <w:tc>
          <w:tcPr>
            <w:tcW w:w="1526" w:type="dxa"/>
            <w:shd w:val="clear" w:color="auto" w:fill="D2EAF1"/>
            <w:vAlign w:val="center"/>
          </w:tcPr>
          <w:p w:rsidR="000528E1" w:rsidRPr="005C37F5" w:rsidRDefault="000528E1" w:rsidP="000528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流水號</w:t>
            </w:r>
          </w:p>
          <w:p w:rsidR="000528E1" w:rsidRPr="005C37F5" w:rsidRDefault="000528E1" w:rsidP="000528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附件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資料收集日期</w:t>
            </w:r>
          </w:p>
        </w:tc>
        <w:tc>
          <w:tcPr>
            <w:tcW w:w="2409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表單名稱</w:t>
            </w:r>
          </w:p>
        </w:tc>
        <w:tc>
          <w:tcPr>
            <w:tcW w:w="2977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銷毀資訊</w:t>
            </w:r>
          </w:p>
        </w:tc>
        <w:tc>
          <w:tcPr>
            <w:tcW w:w="2835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銷毀方式</w:t>
            </w:r>
          </w:p>
        </w:tc>
        <w:tc>
          <w:tcPr>
            <w:tcW w:w="1276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資料銷毀日期</w:t>
            </w:r>
          </w:p>
        </w:tc>
        <w:tc>
          <w:tcPr>
            <w:tcW w:w="1843" w:type="dxa"/>
            <w:shd w:val="clear" w:color="auto" w:fill="D2EAF1"/>
            <w:vAlign w:val="center"/>
          </w:tcPr>
          <w:p w:rsidR="000528E1" w:rsidRPr="005C37F5" w:rsidRDefault="000528E1" w:rsidP="00087C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文件管理人員</w:t>
            </w:r>
          </w:p>
          <w:p w:rsidR="000528E1" w:rsidRPr="005C37F5" w:rsidRDefault="000528E1" w:rsidP="00087C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簽章</w:t>
            </w:r>
          </w:p>
        </w:tc>
        <w:tc>
          <w:tcPr>
            <w:tcW w:w="1559" w:type="dxa"/>
            <w:shd w:val="clear" w:color="auto" w:fill="D2EAF1"/>
            <w:vAlign w:val="center"/>
          </w:tcPr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權責主管</w:t>
            </w:r>
          </w:p>
          <w:p w:rsidR="000528E1" w:rsidRPr="005C37F5" w:rsidRDefault="000528E1" w:rsidP="00FF054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37F5">
              <w:rPr>
                <w:rFonts w:ascii="Times New Roman" w:eastAsia="標楷體" w:hAnsi="Times New Roman" w:cs="Times New Roman"/>
                <w:b/>
              </w:rPr>
              <w:t>簽章</w:t>
            </w:r>
          </w:p>
        </w:tc>
      </w:tr>
      <w:tr w:rsidR="005C37F5" w:rsidRPr="005C37F5" w:rsidTr="003B4766">
        <w:trPr>
          <w:trHeight w:val="653"/>
        </w:trPr>
        <w:tc>
          <w:tcPr>
            <w:tcW w:w="1526" w:type="dxa"/>
            <w:shd w:val="clear" w:color="auto" w:fill="auto"/>
          </w:tcPr>
          <w:p w:rsidR="000528E1" w:rsidRPr="005C37F5" w:rsidRDefault="003B4766" w:rsidP="000528E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1100301-1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>110.3.1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528E1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>校外人士</w:t>
            </w:r>
            <w:r w:rsidR="003B4766" w:rsidRPr="005C37F5">
              <w:rPr>
                <w:rFonts w:ascii="Times New Roman" w:eastAsia="標楷體" w:hAnsi="Times New Roman" w:cs="Times New Roman"/>
                <w:color w:val="FF0000"/>
              </w:rPr>
              <w:t>洽公</w:t>
            </w:r>
          </w:p>
          <w:p w:rsidR="003B4766" w:rsidRPr="005C37F5" w:rsidRDefault="003B4766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進入校園防疫管理機制紀錄表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C1E42" w:rsidRPr="003B2032" w:rsidRDefault="00E77B10" w:rsidP="00087C26">
            <w:pPr>
              <w:spacing w:before="12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sym w:font="Wingdings 2" w:char="F0A2"/>
            </w:r>
            <w:r w:rsidR="003B2032">
              <w:rPr>
                <w:rFonts w:ascii="Times New Roman" w:eastAsia="標楷體" w:hAnsi="Times New Roman" w:cs="Times New Roman" w:hint="eastAsia"/>
                <w:color w:val="FF0000"/>
              </w:rPr>
              <w:t>紙本資料</w:t>
            </w:r>
            <w:r w:rsidR="00CC1E42"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 w:rsidR="003B4766">
              <w:rPr>
                <w:rFonts w:ascii="Times New Roman" w:eastAsia="標楷體" w:hAnsi="Times New Roman" w:cs="Times New Roman" w:hint="eastAsia"/>
                <w:color w:val="FF0000"/>
              </w:rPr>
              <w:t>筆數</w:t>
            </w:r>
            <w:r w:rsidR="003B4766">
              <w:rPr>
                <w:rFonts w:ascii="標楷體" w:eastAsia="標楷體" w:hAnsi="標楷體" w:cs="Times New Roman" w:hint="eastAsia"/>
                <w:color w:val="FF0000"/>
              </w:rPr>
              <w:t>：</w:t>
            </w:r>
          </w:p>
          <w:p w:rsidR="000528E1" w:rsidRPr="00CC1E42" w:rsidRDefault="000528E1" w:rsidP="000528E1">
            <w:pPr>
              <w:spacing w:before="120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r w:rsidR="003B2032">
              <w:rPr>
                <w:rFonts w:ascii="Times New Roman" w:eastAsia="標楷體" w:hAnsi="Times New Roman" w:cs="Times New Roman" w:hint="eastAsia"/>
                <w:color w:val="FF0000"/>
              </w:rPr>
              <w:t>電子資料</w:t>
            </w:r>
            <w:r w:rsidR="00CC1E42"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 w:rsidR="003B4766" w:rsidRPr="003B4766">
              <w:rPr>
                <w:rFonts w:ascii="Times New Roman" w:eastAsia="標楷體" w:hAnsi="Times New Roman" w:cs="Times New Roman" w:hint="eastAsia"/>
                <w:color w:val="FF0000"/>
              </w:rPr>
              <w:t>筆數：</w:t>
            </w:r>
          </w:p>
        </w:tc>
        <w:tc>
          <w:tcPr>
            <w:tcW w:w="2835" w:type="dxa"/>
            <w:shd w:val="clear" w:color="auto" w:fill="auto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sym w:font="Wingdings 2" w:char="F0A2"/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自行銷毀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>方式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碎紙機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 xml:space="preserve">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>110.3.29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28E1" w:rsidRPr="005C37F5" w:rsidRDefault="005C37F5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 xml:space="preserve"> (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範例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0528E1" w:rsidRPr="005C37F5" w:rsidTr="003B4766">
        <w:tc>
          <w:tcPr>
            <w:tcW w:w="1526" w:type="dxa"/>
            <w:shd w:val="clear" w:color="auto" w:fill="auto"/>
          </w:tcPr>
          <w:p w:rsidR="003B4766" w:rsidRDefault="00C27C63" w:rsidP="000528E1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C27C63">
              <w:rPr>
                <w:rFonts w:ascii="標楷體" w:eastAsia="標楷體" w:hAnsi="標楷體" w:cs="Times New Roman" w:hint="eastAsia"/>
                <w:color w:val="FF0000"/>
              </w:rPr>
              <w:t>附件</w:t>
            </w:r>
            <w:r w:rsidR="000528E1" w:rsidRPr="00C27C63">
              <w:rPr>
                <w:rFonts w:ascii="標楷體" w:eastAsia="標楷體" w:hAnsi="標楷體" w:cs="Times New Roman"/>
                <w:color w:val="FF0000"/>
              </w:rPr>
              <w:t>一</w:t>
            </w:r>
          </w:p>
          <w:p w:rsidR="000528E1" w:rsidRPr="00C27C63" w:rsidRDefault="00C27C63" w:rsidP="000528E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(銷毀軌跡紀錄)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委外銷毀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  <w:color w:val="FF0000"/>
              </w:rPr>
            </w:pPr>
            <w:r w:rsidRPr="005C37F5">
              <w:rPr>
                <w:rFonts w:ascii="Times New Roman" w:eastAsia="標楷體" w:hAnsi="Times New Roman" w:cs="Times New Roman"/>
                <w:color w:val="FF0000"/>
              </w:rPr>
              <w:t>方式</w:t>
            </w:r>
            <w:r w:rsidRPr="005C37F5">
              <w:rPr>
                <w:rFonts w:ascii="Times New Roman" w:eastAsia="標楷體" w:hAnsi="Times New Roman" w:cs="Times New Roman"/>
                <w:color w:val="FF0000"/>
              </w:rPr>
              <w:t>: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3B2032" w:rsidRPr="005C37F5" w:rsidTr="003B4766">
        <w:trPr>
          <w:trHeight w:val="652"/>
        </w:trPr>
        <w:tc>
          <w:tcPr>
            <w:tcW w:w="1526" w:type="dxa"/>
          </w:tcPr>
          <w:p w:rsidR="003B2032" w:rsidRPr="005C37F5" w:rsidRDefault="00363CA7" w:rsidP="003B2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1100301-2</w:t>
            </w:r>
          </w:p>
        </w:tc>
        <w:tc>
          <w:tcPr>
            <w:tcW w:w="1276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3B2032" w:rsidRPr="005C37F5" w:rsidRDefault="003B2032" w:rsidP="003B2032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  <w:r w:rsidRPr="005C37F5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 xml:space="preserve">:  </w:t>
            </w:r>
          </w:p>
        </w:tc>
        <w:tc>
          <w:tcPr>
            <w:tcW w:w="1276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</w:tr>
      <w:tr w:rsidR="003B2032" w:rsidRPr="005C37F5" w:rsidTr="003B4766">
        <w:trPr>
          <w:trHeight w:val="652"/>
        </w:trPr>
        <w:tc>
          <w:tcPr>
            <w:tcW w:w="1526" w:type="dxa"/>
          </w:tcPr>
          <w:p w:rsidR="00363CA7" w:rsidRDefault="00363CA7" w:rsidP="00363CA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C27C63">
              <w:rPr>
                <w:rFonts w:ascii="標楷體" w:eastAsia="標楷體" w:hAnsi="標楷體" w:cs="Times New Roman" w:hint="eastAsia"/>
                <w:color w:val="FF0000"/>
              </w:rPr>
              <w:t>附件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二</w:t>
            </w:r>
          </w:p>
          <w:p w:rsidR="003B2032" w:rsidRPr="005C37F5" w:rsidRDefault="003B2032" w:rsidP="003B2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3B2032" w:rsidRPr="005C37F5" w:rsidRDefault="003B2032" w:rsidP="003B2032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1276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</w:tr>
      <w:tr w:rsidR="003B2032" w:rsidRPr="005C37F5" w:rsidTr="003B4766">
        <w:trPr>
          <w:trHeight w:val="652"/>
        </w:trPr>
        <w:tc>
          <w:tcPr>
            <w:tcW w:w="1526" w:type="dxa"/>
          </w:tcPr>
          <w:p w:rsidR="003B2032" w:rsidRPr="005C37F5" w:rsidRDefault="00363CA7" w:rsidP="003B2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1100302-1</w:t>
            </w:r>
          </w:p>
        </w:tc>
        <w:tc>
          <w:tcPr>
            <w:tcW w:w="1276" w:type="dxa"/>
            <w:vMerge w:val="restart"/>
          </w:tcPr>
          <w:p w:rsidR="003B2032" w:rsidRPr="00DE5D4B" w:rsidRDefault="00DE5D4B" w:rsidP="003B2032">
            <w:pPr>
              <w:rPr>
                <w:rFonts w:ascii="Times New Roman" w:hAnsi="Times New Roman" w:cs="Times New Roman"/>
                <w:color w:val="FF0000"/>
              </w:rPr>
            </w:pPr>
            <w:r w:rsidRPr="00DE5D4B">
              <w:rPr>
                <w:rFonts w:ascii="Times New Roman" w:hAnsi="Times New Roman" w:cs="Times New Roman" w:hint="eastAsia"/>
                <w:color w:val="FF0000"/>
              </w:rPr>
              <w:t>110.3.2</w:t>
            </w:r>
          </w:p>
        </w:tc>
        <w:tc>
          <w:tcPr>
            <w:tcW w:w="2409" w:type="dxa"/>
            <w:vMerge w:val="restart"/>
          </w:tcPr>
          <w:p w:rsidR="003B2032" w:rsidRPr="00DE5D4B" w:rsidRDefault="00DE5D4B" w:rsidP="003B2032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t>2021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OO</w:t>
            </w:r>
            <w:r w:rsidR="007B2C80">
              <w:rPr>
                <w:rFonts w:ascii="Times New Roman" w:eastAsia="標楷體" w:hAnsi="Times New Roman" w:cs="Times New Roman" w:hint="eastAsia"/>
                <w:color w:val="FF0000"/>
              </w:rPr>
              <w:t>OO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研討會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-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防疫健康關懷問卷</w:t>
            </w:r>
          </w:p>
        </w:tc>
        <w:tc>
          <w:tcPr>
            <w:tcW w:w="2977" w:type="dxa"/>
            <w:vMerge w:val="restart"/>
          </w:tcPr>
          <w:p w:rsidR="003B2032" w:rsidRPr="00DE5D4B" w:rsidRDefault="003B2032" w:rsidP="003B2032">
            <w:pPr>
              <w:spacing w:before="120"/>
              <w:rPr>
                <w:rFonts w:ascii="Times New Roman" w:eastAsia="標楷體" w:hAnsi="Times New Roman" w:cs="Times New Roman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r w:rsidRPr="00DE5D4B">
              <w:rPr>
                <w:rFonts w:ascii="Times New Roman" w:eastAsia="標楷體" w:hAnsi="Times New Roman" w:cs="Times New Roman" w:hint="eastAsia"/>
                <w:color w:val="FF0000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3B2032" w:rsidRPr="00DE5D4B" w:rsidRDefault="00DE5D4B" w:rsidP="003B2032">
            <w:pPr>
              <w:spacing w:before="120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sym w:font="Wingdings 2" w:char="F0A2"/>
            </w:r>
            <w:r w:rsidR="003B2032" w:rsidRPr="00DE5D4B">
              <w:rPr>
                <w:rFonts w:ascii="Times New Roman" w:eastAsia="標楷體" w:hAnsi="Times New Roman" w:cs="Times New Roman" w:hint="eastAsia"/>
                <w:color w:val="FF0000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3B2032" w:rsidRPr="00DE5D4B" w:rsidRDefault="00DE5D4B" w:rsidP="003B2032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DE5D4B">
              <w:rPr>
                <w:rFonts w:ascii="標楷體" w:eastAsia="標楷體" w:hAnsi="標楷體" w:cs="Times New Roman" w:hint="eastAsia"/>
                <w:color w:val="FF0000"/>
              </w:rPr>
              <w:sym w:font="Wingdings 2" w:char="F0A2"/>
            </w:r>
            <w:r w:rsidR="003B2032" w:rsidRPr="00DE5D4B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3B2032" w:rsidRPr="00DE5D4B">
              <w:rPr>
                <w:rFonts w:ascii="Times New Roman" w:eastAsia="標楷體" w:hAnsi="Times New Roman" w:cs="Times New Roman"/>
                <w:color w:val="FF0000"/>
              </w:rPr>
              <w:t>自行銷毀</w:t>
            </w:r>
            <w:r w:rsidR="003B2032" w:rsidRPr="00DE5D4B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  <w:p w:rsidR="003B2032" w:rsidRPr="00DE5D4B" w:rsidRDefault="003B2032" w:rsidP="003B2032">
            <w:pPr>
              <w:rPr>
                <w:rFonts w:ascii="Times New Roman" w:hAnsi="Times New Roman" w:cs="Times New Roman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t>方式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 xml:space="preserve">: </w:t>
            </w:r>
            <w:r w:rsidR="00DE5D4B" w:rsidRPr="00DE5D4B">
              <w:rPr>
                <w:rFonts w:ascii="Times New Roman" w:eastAsia="標楷體" w:hAnsi="Times New Roman" w:cs="Times New Roman" w:hint="eastAsia"/>
                <w:color w:val="FF0000"/>
              </w:rPr>
              <w:t>電子</w:t>
            </w:r>
            <w:proofErr w:type="gramStart"/>
            <w:r w:rsidR="00DE5D4B" w:rsidRPr="00DE5D4B">
              <w:rPr>
                <w:rFonts w:ascii="Times New Roman" w:eastAsia="標楷體" w:hAnsi="Times New Roman" w:cs="Times New Roman" w:hint="eastAsia"/>
                <w:color w:val="FF0000"/>
              </w:rPr>
              <w:t>檔</w:t>
            </w:r>
            <w:proofErr w:type="gramEnd"/>
            <w:r w:rsidR="00DE5D4B" w:rsidRPr="00DE5D4B">
              <w:rPr>
                <w:rFonts w:ascii="Times New Roman" w:eastAsia="標楷體" w:hAnsi="Times New Roman" w:cs="Times New Roman" w:hint="eastAsia"/>
                <w:color w:val="FF0000"/>
              </w:rPr>
              <w:t>刪除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 xml:space="preserve">   </w:t>
            </w:r>
          </w:p>
        </w:tc>
        <w:tc>
          <w:tcPr>
            <w:tcW w:w="1276" w:type="dxa"/>
            <w:vMerge w:val="restart"/>
          </w:tcPr>
          <w:p w:rsidR="003B2032" w:rsidRPr="00DE5D4B" w:rsidRDefault="00DE5D4B" w:rsidP="003B2032">
            <w:pPr>
              <w:rPr>
                <w:rFonts w:ascii="Times New Roman" w:hAnsi="Times New Roman" w:cs="Times New Roman"/>
                <w:color w:val="FF0000"/>
              </w:rPr>
            </w:pPr>
            <w:r w:rsidRPr="00DE5D4B">
              <w:rPr>
                <w:rFonts w:ascii="Times New Roman" w:hAnsi="Times New Roman" w:cs="Times New Roman" w:hint="eastAsia"/>
                <w:color w:val="FF0000"/>
              </w:rPr>
              <w:t>110.3.30</w:t>
            </w:r>
          </w:p>
        </w:tc>
        <w:tc>
          <w:tcPr>
            <w:tcW w:w="1843" w:type="dxa"/>
            <w:vMerge w:val="restart"/>
          </w:tcPr>
          <w:p w:rsidR="003B2032" w:rsidRPr="00DE5D4B" w:rsidRDefault="003B2032" w:rsidP="003B20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3B2032" w:rsidRPr="00DE5D4B" w:rsidRDefault="00DE5D4B" w:rsidP="003B2032">
            <w:pPr>
              <w:rPr>
                <w:rFonts w:ascii="Times New Roman" w:hAnsi="Times New Roman" w:cs="Times New Roman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範例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  <w:tr w:rsidR="003B2032" w:rsidRPr="005C37F5" w:rsidTr="003B4766">
        <w:trPr>
          <w:trHeight w:val="652"/>
        </w:trPr>
        <w:tc>
          <w:tcPr>
            <w:tcW w:w="1526" w:type="dxa"/>
          </w:tcPr>
          <w:p w:rsidR="00363CA7" w:rsidRDefault="00363CA7" w:rsidP="00363CA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C27C63">
              <w:rPr>
                <w:rFonts w:ascii="標楷體" w:eastAsia="標楷體" w:hAnsi="標楷體" w:cs="Times New Roman" w:hint="eastAsia"/>
                <w:color w:val="FF0000"/>
              </w:rPr>
              <w:t>附件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三</w:t>
            </w:r>
            <w:proofErr w:type="gramEnd"/>
          </w:p>
          <w:p w:rsidR="003B2032" w:rsidRPr="005C37F5" w:rsidRDefault="003B2032" w:rsidP="003B2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3B2032" w:rsidRPr="00DE5D4B" w:rsidRDefault="003B2032" w:rsidP="003B2032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委外銷毀</w:t>
            </w:r>
          </w:p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  <w:r w:rsidRPr="00DE5D4B">
              <w:rPr>
                <w:rFonts w:ascii="Times New Roman" w:eastAsia="標楷體" w:hAnsi="Times New Roman" w:cs="Times New Roman"/>
                <w:color w:val="FF0000"/>
              </w:rPr>
              <w:t>方式</w:t>
            </w:r>
            <w:r w:rsidRPr="00DE5D4B">
              <w:rPr>
                <w:rFonts w:ascii="Times New Roman" w:eastAsia="標楷體" w:hAnsi="Times New Roman" w:cs="Times New Roman"/>
                <w:color w:val="FF0000"/>
              </w:rPr>
              <w:t>:</w:t>
            </w:r>
          </w:p>
        </w:tc>
        <w:tc>
          <w:tcPr>
            <w:tcW w:w="1276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</w:tr>
      <w:tr w:rsidR="003B2032" w:rsidRPr="005C37F5" w:rsidTr="003B4766">
        <w:trPr>
          <w:trHeight w:val="652"/>
        </w:trPr>
        <w:tc>
          <w:tcPr>
            <w:tcW w:w="1526" w:type="dxa"/>
          </w:tcPr>
          <w:p w:rsidR="003B2032" w:rsidRPr="005C37F5" w:rsidRDefault="003B2032" w:rsidP="003B2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3B2032" w:rsidRPr="005C37F5" w:rsidRDefault="003B2032" w:rsidP="003B2032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 xml:space="preserve">:    </w:t>
            </w:r>
          </w:p>
        </w:tc>
        <w:tc>
          <w:tcPr>
            <w:tcW w:w="1276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B2032" w:rsidRPr="005C37F5" w:rsidRDefault="003B2032" w:rsidP="003B2032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3B2032" w:rsidRDefault="000528E1" w:rsidP="000528E1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528E1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1276" w:type="dxa"/>
            <w:vMerge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lastRenderedPageBreak/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528E1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lastRenderedPageBreak/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  <w:r w:rsidRPr="005C37F5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 xml:space="preserve">: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528E1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5C37F5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>方式</w:t>
            </w:r>
            <w:r w:rsidRPr="005C37F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3B2032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3B2032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3B2032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5C37F5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B2032" w:rsidRPr="003B2032" w:rsidRDefault="003B2032" w:rsidP="003B2032">
            <w:pPr>
              <w:spacing w:before="120"/>
              <w:rPr>
                <w:rFonts w:ascii="Times New Roman" w:eastAsia="標楷體" w:hAnsi="Times New Roman" w:cs="Times New Roman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紙本資料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  <w:p w:rsidR="000528E1" w:rsidRPr="007B2C80" w:rsidRDefault="003B2032" w:rsidP="000528E1">
            <w:pPr>
              <w:spacing w:before="120"/>
              <w:rPr>
                <w:rFonts w:ascii="Times New Roman" w:eastAsia="標楷體" w:hAnsi="Times New Roman" w:cs="Times New Roman" w:hint="eastAsia"/>
              </w:rPr>
            </w:pPr>
            <w:r w:rsidRPr="003B203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3B2032">
              <w:rPr>
                <w:rFonts w:ascii="Times New Roman" w:eastAsia="標楷體" w:hAnsi="Times New Roman" w:cs="Times New Roman" w:hint="eastAsia"/>
              </w:rPr>
              <w:t>電子資料</w:t>
            </w:r>
            <w:r w:rsidR="007B2C80" w:rsidRPr="007B2C80">
              <w:rPr>
                <w:rFonts w:ascii="Times New Roman" w:eastAsia="標楷體" w:hAnsi="Times New Roman" w:cs="Times New Roman" w:hint="eastAsia"/>
              </w:rPr>
              <w:t>，筆數</w:t>
            </w:r>
            <w:r w:rsidR="007B2C80" w:rsidRPr="007B2C80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eastAsia="標楷體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自行銷毀</w:t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276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  <w:tr w:rsidR="000528E1" w:rsidRPr="005C37F5" w:rsidTr="003B4766">
        <w:trPr>
          <w:trHeight w:val="652"/>
        </w:trPr>
        <w:tc>
          <w:tcPr>
            <w:tcW w:w="1526" w:type="dxa"/>
          </w:tcPr>
          <w:p w:rsidR="000528E1" w:rsidRPr="005C37F5" w:rsidRDefault="000528E1" w:rsidP="00052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528E1" w:rsidRPr="005C37F5" w:rsidRDefault="000528E1" w:rsidP="00087C26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C37F5">
              <w:rPr>
                <w:rFonts w:ascii="Times New Roman" w:eastAsia="標楷體" w:hAnsi="Times New Roman" w:cs="Times New Roman"/>
              </w:rPr>
              <w:t xml:space="preserve"> </w:t>
            </w:r>
            <w:r w:rsidRPr="005C37F5">
              <w:rPr>
                <w:rFonts w:ascii="Times New Roman" w:eastAsia="標楷體" w:hAnsi="Times New Roman" w:cs="Times New Roman"/>
              </w:rPr>
              <w:t>委外銷毀</w:t>
            </w:r>
          </w:p>
        </w:tc>
        <w:tc>
          <w:tcPr>
            <w:tcW w:w="1276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28E1" w:rsidRPr="005C37F5" w:rsidRDefault="000528E1" w:rsidP="00087C26">
            <w:pPr>
              <w:rPr>
                <w:rFonts w:ascii="Times New Roman" w:hAnsi="Times New Roman" w:cs="Times New Roman"/>
              </w:rPr>
            </w:pPr>
          </w:p>
        </w:tc>
      </w:tr>
    </w:tbl>
    <w:p w:rsidR="003B2032" w:rsidRDefault="003B20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B2032" w:rsidTr="003B2032">
        <w:tc>
          <w:tcPr>
            <w:tcW w:w="15388" w:type="dxa"/>
          </w:tcPr>
          <w:p w:rsidR="003B2032" w:rsidRPr="003B2032" w:rsidRDefault="003B2032" w:rsidP="003B2032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B2032">
              <w:rPr>
                <w:rFonts w:ascii="Times New Roman" w:hAnsi="Times New Roman" w:cs="Times New Roman"/>
              </w:rPr>
              <w:br w:type="page"/>
            </w:r>
            <w:r w:rsidRPr="003B2032">
              <w:rPr>
                <w:rFonts w:ascii="Times New Roman" w:eastAsia="標楷體" w:hAnsi="Times New Roman" w:cs="Times New Roman"/>
                <w:b/>
                <w:sz w:val="28"/>
              </w:rPr>
              <w:t>說明：</w:t>
            </w:r>
          </w:p>
          <w:p w:rsidR="003B2032" w:rsidRPr="007872CE" w:rsidRDefault="003B2032" w:rsidP="003B203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872CE">
              <w:rPr>
                <w:rFonts w:ascii="Times New Roman" w:eastAsia="標楷體" w:hAnsi="Times New Roman" w:cs="Times New Roman"/>
                <w:b/>
                <w:color w:val="030303"/>
                <w:kern w:val="0"/>
                <w:szCs w:val="28"/>
              </w:rPr>
              <w:t>依「</w:t>
            </w:r>
            <w:r w:rsidRPr="007872CE">
              <w:rPr>
                <w:rFonts w:ascii="Times New Roman" w:eastAsia="標楷體" w:hAnsi="Times New Roman" w:cs="Times New Roman"/>
                <w:b/>
                <w:bCs/>
                <w:color w:val="030303"/>
                <w:kern w:val="0"/>
                <w:szCs w:val="28"/>
              </w:rPr>
              <w:t>COVID 19</w:t>
            </w:r>
            <w:r w:rsidRPr="007872CE">
              <w:rPr>
                <w:rFonts w:ascii="Times New Roman" w:eastAsia="標楷體" w:hAnsi="Times New Roman" w:cs="Times New Roman"/>
                <w:b/>
                <w:color w:val="030303"/>
                <w:kern w:val="0"/>
                <w:szCs w:val="28"/>
              </w:rPr>
              <w:t>（武漢肺炎）」防疫新生活運動：</w:t>
            </w:r>
            <w:proofErr w:type="gramStart"/>
            <w:r w:rsidRPr="007872CE">
              <w:rPr>
                <w:rFonts w:ascii="Times New Roman" w:eastAsia="標楷體" w:hAnsi="Times New Roman" w:cs="Times New Roman"/>
                <w:b/>
                <w:color w:val="030303"/>
                <w:kern w:val="0"/>
                <w:szCs w:val="28"/>
              </w:rPr>
              <w:t>實聯制措施</w:t>
            </w:r>
            <w:proofErr w:type="gramEnd"/>
            <w:r w:rsidRPr="007872CE">
              <w:rPr>
                <w:rFonts w:ascii="Times New Roman" w:eastAsia="標楷體" w:hAnsi="Times New Roman" w:cs="Times New Roman"/>
                <w:b/>
                <w:color w:val="030303"/>
                <w:kern w:val="0"/>
                <w:szCs w:val="28"/>
              </w:rPr>
              <w:t>指引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一、為維持國內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疫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情之穩定控制，使民眾生活及產業經濟能於具備一定安全條件下，逐步恢復正常運作，公務機關或非公務機關（以下皆簡稱機關）應依循本指引之說明，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採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行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實聯制措施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。</w:t>
            </w:r>
          </w:p>
          <w:p w:rsidR="003B2032" w:rsidRPr="003B2032" w:rsidRDefault="003B2032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二、為增加整體防疫措施之透明性、提高民眾之信賴，機關蒐集民眾個人資料時，應明確告知下列事項：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（一）蒐集機關之名稱。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（二）蒐集之目的：防疫目的，依據「個人資料保護法之</w:t>
            </w:r>
            <w:r w:rsid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特定目的及個人資料之類</w:t>
            </w:r>
            <w:r w:rsidR="00F57A04">
              <w:rPr>
                <w:rFonts w:ascii="Times New Roman" w:eastAsia="標楷體" w:hAnsi="Times New Roman" w:cs="Times New Roman" w:hint="eastAsia"/>
                <w:color w:val="010101"/>
                <w:kern w:val="0"/>
                <w:szCs w:val="24"/>
              </w:rPr>
              <w:t>別</w:t>
            </w:r>
            <w:r w:rsidR="00F57A04">
              <w:rPr>
                <w:rFonts w:ascii="標楷體" w:eastAsia="標楷體" w:hAnsi="標楷體" w:cs="Times New Roman" w:hint="eastAsia"/>
                <w:color w:val="010101"/>
                <w:kern w:val="0"/>
                <w:szCs w:val="24"/>
              </w:rPr>
              <w:t>」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為代號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012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公共衛生或傳染病防治之特定目的，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且不得為目的外利用。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（三）蒐集之個人資料項目：蒐集資料應符合最少侵害原則，如電話號碼。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（四）個人資料利用之期間：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自蒐集日起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28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日內。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  <w:t>（五）個人資料利用之對象及方式：為防堵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  <w:t>疫情而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  <w:t>有必要時，得提供衛生主管機關依傳染病防治法等規定進行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  <w:t>疫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20202"/>
                <w:kern w:val="0"/>
                <w:szCs w:val="24"/>
              </w:rPr>
              <w:t>情調查及聯繫使用。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（六）當事人就其個人資料得依個人資料保護法規定，向蒐集之機關行使權利，包括查詢或請求閱覽、請求製給複製本、請求補充或更正、請求蒐集、處理或利用、請求刪除，及行使方式。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ind w:left="684" w:hangingChars="285" w:hanging="684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（七）當事人不同意提供個人資料對其權益之影響，如無法進入場館或參與活動。</w:t>
            </w:r>
          </w:p>
          <w:p w:rsidR="003B2032" w:rsidRPr="003B2032" w:rsidRDefault="003B2032" w:rsidP="003B203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kern w:val="0"/>
                <w:szCs w:val="24"/>
              </w:rPr>
              <w:t xml:space="preserve"> 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告知時可採取「多層次告知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 xml:space="preserve">J 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方式，將重要事項於明顯處揭示，立在以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QR Code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或網址連結提供其他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細節事頃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。</w:t>
            </w:r>
          </w:p>
          <w:p w:rsidR="003B2032" w:rsidRPr="003B2032" w:rsidRDefault="003B2032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ind w:left="463" w:hangingChars="193" w:hanging="463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三、機關為蒐集、處理及利用個人資料，得以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紙本或電子方式為之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，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且皆應善盡資料安全維護義務，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採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行適當之技術上及組織上安全措施，並指定專人辦理安全維護事項，防止個人資料被竊取、竄改、毀損、滅失或洩漏。例如以紙本供當事人填具個人資料時，應以遮蔽或其他適當方式保護先填寫者之個人資料，避免後填寫者得閱覽先填寫者之個人資料。</w:t>
            </w:r>
          </w:p>
          <w:p w:rsidR="003B2032" w:rsidRPr="003B2032" w:rsidRDefault="003B2032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ind w:left="463" w:hangingChars="193" w:hanging="463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四、機關以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資訊率統或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APP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實施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實聯制者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，應進行資訊安全風險評估，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採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行相符安全控制措施，確保系統安全防護水準。</w:t>
            </w:r>
          </w:p>
          <w:p w:rsidR="003B2032" w:rsidRPr="003B2032" w:rsidRDefault="003B2032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ind w:left="463" w:hangingChars="193" w:hanging="463"/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五、各機關對於蒐集之個人資料僅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可係存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28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日，屆期</w:t>
            </w:r>
            <w:r w:rsidR="00F57A04">
              <w:rPr>
                <w:rFonts w:ascii="Times New Roman" w:eastAsia="標楷體" w:hAnsi="Times New Roman" w:cs="Times New Roman" w:hint="eastAsia"/>
                <w:color w:val="010101"/>
                <w:kern w:val="0"/>
                <w:szCs w:val="24"/>
              </w:rPr>
              <w:t>即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應主動將個人資料予以刪除或銷毀，並</w:t>
            </w:r>
            <w:r w:rsidR="00F57A04" w:rsidRPr="00F57A04">
              <w:rPr>
                <w:rFonts w:ascii="Times New Roman" w:eastAsia="標楷體" w:hAnsi="Times New Roman" w:cs="Times New Roman" w:hint="eastAsia"/>
                <w:color w:val="010101"/>
                <w:kern w:val="0"/>
                <w:szCs w:val="24"/>
                <w:u w:val="single"/>
              </w:rPr>
              <w:t>應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留存執行刪除或銷毀之項目及</w:t>
            </w:r>
            <w:r w:rsidR="00F57A04" w:rsidRPr="00F57A04">
              <w:rPr>
                <w:rFonts w:ascii="Times New Roman" w:eastAsia="標楷體" w:hAnsi="Times New Roman" w:cs="Times New Roman" w:hint="eastAsia"/>
                <w:color w:val="010101"/>
                <w:kern w:val="0"/>
                <w:szCs w:val="24"/>
                <w:u w:val="single"/>
              </w:rPr>
              <w:t>日期</w:t>
            </w:r>
            <w:r w:rsidRPr="00F57A04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  <w:u w:val="single"/>
              </w:rPr>
              <w:t>等軌跡紀錄</w:t>
            </w:r>
            <w:r w:rsidRPr="003B2032">
              <w:rPr>
                <w:rFonts w:ascii="Times New Roman" w:eastAsia="標楷體" w:hAnsi="Times New Roman" w:cs="Times New Roman"/>
                <w:color w:val="010101"/>
                <w:kern w:val="0"/>
                <w:szCs w:val="24"/>
              </w:rPr>
              <w:t>。</w:t>
            </w:r>
          </w:p>
          <w:p w:rsidR="003B2032" w:rsidRDefault="003B2032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ind w:left="463" w:hangingChars="193" w:hanging="463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六、各中央目的事業主管機關、直轄市、縣（市）政府應依個人資料保護法第</w:t>
            </w: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22</w:t>
            </w: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條規定，監督</w:t>
            </w:r>
            <w:proofErr w:type="gramStart"/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所轄非公務</w:t>
            </w:r>
            <w:proofErr w:type="gramEnd"/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機闕，落實執行上開個人資料保護事</w:t>
            </w:r>
            <w:r w:rsidR="00F57A04">
              <w:rPr>
                <w:rFonts w:ascii="Times New Roman" w:eastAsia="標楷體" w:hAnsi="Times New Roman" w:cs="Times New Roman" w:hint="eastAsia"/>
                <w:color w:val="030303"/>
                <w:kern w:val="0"/>
                <w:szCs w:val="24"/>
              </w:rPr>
              <w:t>項</w:t>
            </w:r>
            <w:r w:rsidRPr="003B2032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，以兼顧民眾資訊隱私權之保障。</w:t>
            </w:r>
          </w:p>
          <w:p w:rsidR="007872CE" w:rsidRDefault="007872CE" w:rsidP="00F57A04">
            <w:pPr>
              <w:autoSpaceDE w:val="0"/>
              <w:autoSpaceDN w:val="0"/>
              <w:adjustRightInd w:val="0"/>
              <w:snapToGrid w:val="0"/>
              <w:spacing w:beforeLines="50" w:before="180"/>
              <w:ind w:left="541" w:hangingChars="193" w:hanging="541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3E1C14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注意事項</w:t>
            </w:r>
            <w:r w:rsidRPr="003E1C14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:</w:t>
            </w:r>
          </w:p>
          <w:p w:rsidR="007872CE" w:rsidRPr="007872CE" w:rsidRDefault="007872CE" w:rsidP="007872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Chars="0"/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</w:pPr>
            <w:r w:rsidRPr="007872CE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lastRenderedPageBreak/>
              <w:t>資料以</w:t>
            </w:r>
            <w:r w:rsidR="003E1C14">
              <w:rPr>
                <w:rFonts w:ascii="標楷體" w:eastAsia="標楷體" w:hAnsi="標楷體" w:cs="Times New Roman" w:hint="eastAsia"/>
                <w:color w:val="030303"/>
                <w:kern w:val="0"/>
                <w:szCs w:val="24"/>
              </w:rPr>
              <w:t>「</w:t>
            </w:r>
            <w:r w:rsidR="003E1C14" w:rsidRPr="007872CE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天</w:t>
            </w:r>
            <w:r w:rsidR="003E1C14">
              <w:rPr>
                <w:rFonts w:ascii="標楷體" w:eastAsia="標楷體" w:hAnsi="標楷體" w:cs="Times New Roman" w:hint="eastAsia"/>
                <w:color w:val="030303"/>
                <w:kern w:val="0"/>
                <w:szCs w:val="24"/>
              </w:rPr>
              <w:t>」</w:t>
            </w:r>
            <w:r w:rsidRPr="007872CE">
              <w:rPr>
                <w:rFonts w:ascii="Times New Roman" w:eastAsia="標楷體" w:hAnsi="Times New Roman" w:cs="Times New Roman"/>
                <w:color w:val="030303"/>
                <w:kern w:val="0"/>
                <w:szCs w:val="24"/>
              </w:rPr>
              <w:t>為單位，進行保存及銷毀。</w:t>
            </w:r>
          </w:p>
          <w:p w:rsidR="007872CE" w:rsidRPr="003E1C14" w:rsidRDefault="007872CE" w:rsidP="003E1C1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Chars="0"/>
              <w:rPr>
                <w:rFonts w:ascii="Times New Roman" w:hAnsi="Times New Roman" w:cs="Times New Roman"/>
              </w:rPr>
            </w:pPr>
            <w:r w:rsidRPr="007872CE">
              <w:rPr>
                <w:rFonts w:ascii="Times New Roman" w:eastAsia="標楷體" w:hAnsi="Times New Roman" w:cs="Times New Roman"/>
              </w:rPr>
              <w:t>資料銷毀須留有</w:t>
            </w:r>
            <w:r w:rsidRPr="003E1C14">
              <w:rPr>
                <w:rFonts w:ascii="Times New Roman" w:eastAsia="標楷體" w:hAnsi="Times New Roman" w:cs="Times New Roman"/>
                <w:u w:val="single"/>
              </w:rPr>
              <w:t>軌跡紀錄</w:t>
            </w:r>
            <w:r w:rsidR="003E1C14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3E1C14">
              <w:rPr>
                <w:rFonts w:ascii="Times New Roman" w:eastAsia="標楷體" w:hAnsi="Times New Roman" w:cs="Times New Roman" w:hint="eastAsia"/>
                <w:u w:val="single"/>
              </w:rPr>
              <w:t>即表格中的附件</w:t>
            </w:r>
            <w:r w:rsidR="00363CA7">
              <w:rPr>
                <w:rFonts w:ascii="Times New Roman" w:eastAsia="標楷體" w:hAnsi="Times New Roman" w:cs="Times New Roman" w:hint="eastAsia"/>
                <w:u w:val="single"/>
              </w:rPr>
              <w:t>，附件各單位自行留存</w:t>
            </w:r>
            <w:r w:rsidR="003E1C14" w:rsidRPr="003E1C14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3E1C14">
              <w:rPr>
                <w:rFonts w:ascii="Times New Roman" w:eastAsia="標楷體" w:hAnsi="Times New Roman" w:cs="Times New Roman"/>
              </w:rPr>
              <w:t>，如拍照、擷取螢幕畫面</w:t>
            </w:r>
            <w:r w:rsidRPr="003E1C14">
              <w:rPr>
                <w:rFonts w:ascii="Times New Roman" w:eastAsia="標楷體" w:hAnsi="Times New Roman" w:cs="Times New Roman"/>
              </w:rPr>
              <w:t>..</w:t>
            </w:r>
            <w:r w:rsidRPr="003E1C14">
              <w:rPr>
                <w:rFonts w:ascii="Times New Roman" w:eastAsia="標楷體" w:hAnsi="Times New Roman" w:cs="Times New Roman"/>
              </w:rPr>
              <w:t>等。</w:t>
            </w:r>
          </w:p>
          <w:p w:rsidR="007872CE" w:rsidRPr="007872CE" w:rsidRDefault="007872CE" w:rsidP="003E1C1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50" w:before="180"/>
              <w:ind w:leftChars="0"/>
              <w:rPr>
                <w:rFonts w:ascii="Times New Roman" w:hAnsi="Times New Roman" w:cs="Times New Roman"/>
              </w:rPr>
            </w:pPr>
            <w:r w:rsidRPr="007872CE">
              <w:rPr>
                <w:rFonts w:ascii="Times New Roman" w:eastAsia="標楷體" w:hAnsi="Times New Roman" w:cs="Times New Roman"/>
              </w:rPr>
              <w:t>此份紀錄表，依單位劃分，紀錄防疫期間</w:t>
            </w: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7872CE">
              <w:rPr>
                <w:rFonts w:ascii="Times New Roman" w:eastAsia="標楷體" w:hAnsi="Times New Roman" w:cs="Times New Roman"/>
              </w:rPr>
              <w:t>所蒐集個人資料之銷毀紀錄。</w:t>
            </w:r>
          </w:p>
        </w:tc>
      </w:tr>
    </w:tbl>
    <w:p w:rsidR="003B2032" w:rsidRDefault="003B2032">
      <w:pPr>
        <w:widowControl/>
      </w:pPr>
    </w:p>
    <w:p w:rsidR="00DA7969" w:rsidRPr="00FF0540" w:rsidRDefault="00DA7969">
      <w:bookmarkStart w:id="0" w:name="_GoBack"/>
      <w:bookmarkEnd w:id="0"/>
    </w:p>
    <w:sectPr w:rsidR="00DA7969" w:rsidRPr="00FF0540" w:rsidSect="000528E1">
      <w:headerReference w:type="default" r:id="rId8"/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1C" w:rsidRDefault="00FF041C" w:rsidP="00FF0540">
      <w:r>
        <w:separator/>
      </w:r>
    </w:p>
  </w:endnote>
  <w:endnote w:type="continuationSeparator" w:id="0">
    <w:p w:rsidR="00FF041C" w:rsidRDefault="00FF041C" w:rsidP="00FF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236296"/>
      <w:docPartObj>
        <w:docPartGallery w:val="Page Numbers (Bottom of Page)"/>
        <w:docPartUnique/>
      </w:docPartObj>
    </w:sdtPr>
    <w:sdtEndPr/>
    <w:sdtContent>
      <w:p w:rsidR="00050D55" w:rsidRDefault="00050D55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0D55" w:rsidRDefault="00050D5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7B2C80" w:rsidRPr="007B2C8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nH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nA1Jx7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050D55" w:rsidRDefault="00050D5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7B2C80" w:rsidRPr="007B2C8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1C" w:rsidRDefault="00FF041C" w:rsidP="00FF0540">
      <w:r>
        <w:separator/>
      </w:r>
    </w:p>
  </w:footnote>
  <w:footnote w:type="continuationSeparator" w:id="0">
    <w:p w:rsidR="00FF041C" w:rsidRDefault="00FF041C" w:rsidP="00FF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40" w:rsidRPr="00FF0540" w:rsidRDefault="005C37F5" w:rsidP="00FF0540">
    <w:pPr>
      <w:pStyle w:val="a3"/>
      <w:rPr>
        <w:rFonts w:ascii="標楷體" w:eastAsia="標楷體" w:hAnsi="標楷體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446F28" wp14:editId="17694DFD">
          <wp:simplePos x="0" y="0"/>
          <wp:positionH relativeFrom="column">
            <wp:posOffset>1664778</wp:posOffset>
          </wp:positionH>
          <wp:positionV relativeFrom="paragraph">
            <wp:posOffset>-212857</wp:posOffset>
          </wp:positionV>
          <wp:extent cx="435610" cy="459740"/>
          <wp:effectExtent l="0" t="0" r="2540" b="0"/>
          <wp:wrapSquare wrapText="bothSides"/>
          <wp:docPr id="1" name="圖片 1" descr="2020校徽(三角形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0校徽(三角形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540">
      <w:rPr>
        <w:rFonts w:ascii="標楷體" w:eastAsia="標楷體" w:hAnsi="標楷體" w:hint="eastAsia"/>
        <w:b/>
        <w:bCs/>
        <w:sz w:val="36"/>
        <w:szCs w:val="36"/>
      </w:rPr>
      <w:t xml:space="preserve">                  </w:t>
    </w:r>
    <w:r>
      <w:rPr>
        <w:rFonts w:ascii="標楷體" w:eastAsia="標楷體" w:hAnsi="標楷體" w:hint="eastAsia"/>
        <w:b/>
        <w:bCs/>
        <w:sz w:val="36"/>
        <w:szCs w:val="36"/>
      </w:rPr>
      <w:t xml:space="preserve">        </w:t>
    </w:r>
    <w:r w:rsidR="00FF0540" w:rsidRPr="007113A0">
      <w:rPr>
        <w:rFonts w:ascii="標楷體" w:eastAsia="標楷體" w:hAnsi="標楷體" w:hint="eastAsia"/>
        <w:b/>
        <w:bCs/>
        <w:sz w:val="36"/>
        <w:szCs w:val="36"/>
      </w:rPr>
      <w:t>中山醫學大學</w:t>
    </w:r>
    <w:r w:rsidR="00FF0540" w:rsidRPr="00FF0540">
      <w:rPr>
        <w:rFonts w:ascii="標楷體" w:eastAsia="標楷體" w:hAnsi="標楷體" w:hint="eastAsia"/>
        <w:b/>
        <w:bCs/>
        <w:sz w:val="36"/>
        <w:szCs w:val="36"/>
      </w:rPr>
      <w:t>因應「防疫目的」所收集之個人資料銷毀紀錄表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957"/>
    <w:multiLevelType w:val="hybridMultilevel"/>
    <w:tmpl w:val="42C27F08"/>
    <w:lvl w:ilvl="0" w:tplc="A0487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0"/>
    <w:rsid w:val="00050D55"/>
    <w:rsid w:val="000528E1"/>
    <w:rsid w:val="00087C26"/>
    <w:rsid w:val="002A044C"/>
    <w:rsid w:val="00363CA7"/>
    <w:rsid w:val="003B2032"/>
    <w:rsid w:val="003B4766"/>
    <w:rsid w:val="003E1C14"/>
    <w:rsid w:val="003F52E3"/>
    <w:rsid w:val="004F7034"/>
    <w:rsid w:val="005C37F5"/>
    <w:rsid w:val="007304E1"/>
    <w:rsid w:val="00753BB1"/>
    <w:rsid w:val="007872CE"/>
    <w:rsid w:val="007B2C80"/>
    <w:rsid w:val="007F5452"/>
    <w:rsid w:val="00AD503A"/>
    <w:rsid w:val="00C20F4E"/>
    <w:rsid w:val="00C27C63"/>
    <w:rsid w:val="00CC1E42"/>
    <w:rsid w:val="00DA7969"/>
    <w:rsid w:val="00DE5D4B"/>
    <w:rsid w:val="00E77B10"/>
    <w:rsid w:val="00F57A04"/>
    <w:rsid w:val="00FF041C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6AA98"/>
  <w15:chartTrackingRefBased/>
  <w15:docId w15:val="{C1B3A195-F0B5-4662-87E9-CE7BC12B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54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5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540"/>
    <w:rPr>
      <w:sz w:val="20"/>
      <w:szCs w:val="20"/>
    </w:rPr>
  </w:style>
  <w:style w:type="table" w:styleId="a7">
    <w:name w:val="Table Grid"/>
    <w:basedOn w:val="a1"/>
    <w:uiPriority w:val="39"/>
    <w:rsid w:val="00FF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28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72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E256-6A7C-47C6-94E6-9B50440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2021-05-11T03:31:00Z</cp:lastPrinted>
  <dcterms:created xsi:type="dcterms:W3CDTF">2021-05-10T09:26:00Z</dcterms:created>
  <dcterms:modified xsi:type="dcterms:W3CDTF">2021-05-11T04:18:00Z</dcterms:modified>
</cp:coreProperties>
</file>